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80"/>
        <w:jc w:val="center"/>
      </w:pPr>
      <w:r>
        <w:rPr>
          <w:rFonts w:ascii="Aptos" w:hAnsi="Aptos"/>
          <w:b/>
          <w:i w:val="0"/>
          <w:color w:val="1F3E47"/>
          <w:sz w:val="50"/>
        </w:rPr>
        <w:t>PRIVACY POLICY</w:t>
      </w:r>
    </w:p>
    <w:p>
      <w:pPr>
        <w:spacing w:after="280"/>
        <w:jc w:val="center"/>
      </w:pPr>
      <w:r>
        <w:rPr>
          <w:rFonts w:ascii="Aptos" w:hAnsi="Aptos"/>
          <w:b/>
          <w:i w:val="0"/>
          <w:color w:val="305D67"/>
          <w:sz w:val="28"/>
        </w:rPr>
        <w:t>Shelton Accounting &amp; Compliance Solutions, LLC</w:t>
      </w:r>
    </w:p>
    <w:tbl>
      <w:tblPr>
        <w:tblW w:type="auto" w:w="0"/>
        <w:tblLayout w:type="fixed"/>
        <w:tblLook w:firstColumn="1" w:firstRow="1" w:lastColumn="0" w:lastRow="0" w:noHBand="0" w:noVBand="1" w:val="04A0"/>
      </w:tblPr>
      <w:tblGrid>
        <w:gridCol w:w="2376"/>
        <w:gridCol w:w="7128"/>
      </w:tblGrid>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Company</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Shelton Accounting &amp; Compliance Solutions, LLC</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Address</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13875 Carlow Park Drive, Riverview, Florida 33579</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Version</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1.0 - Final</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Effective / Last Updated</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September 12, 2026</w:t>
            </w:r>
          </w:p>
        </w:tc>
      </w:tr>
    </w:tbl>
    <w:p>
      <w:pPr>
        <w:spacing w:after="120" w:line="259" w:lineRule="auto"/>
      </w:pPr>
      <w:r>
        <w:rPr>
          <w:rFonts w:ascii="Aptos" w:hAnsi="Aptos"/>
          <w:b w:val="0"/>
          <w:i w:val="0"/>
          <w:color w:val="262B2E"/>
          <w:sz w:val="21"/>
        </w:rPr>
      </w:r>
    </w:p>
    <w:p>
      <w:pPr>
        <w:spacing w:after="120" w:line="259" w:lineRule="auto"/>
      </w:pPr>
      <w:r>
        <w:rPr>
          <w:rFonts w:ascii="Aptos" w:hAnsi="Aptos"/>
          <w:b w:val="0"/>
          <w:i w:val="0"/>
          <w:color w:val="262B2E"/>
          <w:sz w:val="21"/>
        </w:rPr>
        <w:t>This Privacy Policy explains how Shelton Accounting &amp; Compliance Solutions, LLC (the "Company," "we," "us," or "our") collects, uses, discloses, retains, and protects personal information in connection with our website and our accounting, tax, bookkeeping, payroll, compliance, consulting, and related professional services (collectively, the "Services").</w:t>
      </w:r>
    </w:p>
    <w:p>
      <w:pPr>
        <w:spacing w:after="120" w:line="259" w:lineRule="auto"/>
      </w:pPr>
      <w:r>
        <w:rPr>
          <w:rFonts w:ascii="Aptos" w:hAnsi="Aptos"/>
          <w:b w:val="0"/>
          <w:i w:val="0"/>
          <w:color w:val="262B2E"/>
          <w:sz w:val="21"/>
        </w:rPr>
        <w:t>Personal information generally includes information that identifies, relates to, describes, or can reasonably be linked with an individual. Some information we handle is particularly sensitive, including Social Security and taxpayer identification numbers, government identification information, tax return information, payroll records, financial account information, and authentication credentials.</w:t>
      </w:r>
    </w:p>
    <w:p>
      <w:pPr>
        <w:spacing w:after="120" w:line="259" w:lineRule="auto"/>
      </w:pPr>
      <w:r>
        <w:rPr>
          <w:rFonts w:ascii="Aptos" w:hAnsi="Aptos"/>
          <w:b w:val="0"/>
          <w:i w:val="0"/>
          <w:color w:val="262B2E"/>
          <w:sz w:val="21"/>
        </w:rPr>
        <w:t>This Privacy Policy does not govern independent third-party websites or services that may be linked from our website, except to the extent we explain below how approved providers process information on our behalf.</w:t>
      </w:r>
    </w:p>
    <w:p>
      <w:pPr>
        <w:keepNext/>
        <w:spacing w:before="200" w:after="100"/>
      </w:pPr>
      <w:r>
        <w:rPr>
          <w:rFonts w:ascii="Aptos" w:hAnsi="Aptos"/>
          <w:b/>
          <w:i w:val="0"/>
          <w:color w:val="23454F"/>
          <w:sz w:val="24"/>
        </w:rPr>
        <w:t>1. OVERVIEW AND SCOPE</w:t>
      </w:r>
    </w:p>
    <w:p>
      <w:pPr>
        <w:spacing w:after="120" w:line="259" w:lineRule="auto"/>
      </w:pPr>
      <w:r>
        <w:rPr>
          <w:rFonts w:ascii="Aptos" w:hAnsi="Aptos"/>
          <w:b w:val="0"/>
          <w:i w:val="0"/>
          <w:color w:val="262B2E"/>
          <w:sz w:val="21"/>
        </w:rPr>
        <w:t>This Privacy Policy applies to personal information we collect or receive:</w:t>
      </w:r>
    </w:p>
    <w:p>
      <w:pPr>
        <w:pStyle w:val="ListBullet"/>
        <w:spacing w:after="60" w:line="252" w:lineRule="auto"/>
        <w:ind w:left="403" w:hanging="202"/>
      </w:pPr>
      <w:r>
        <w:rPr>
          <w:rFonts w:ascii="Aptos" w:hAnsi="Aptos"/>
          <w:b w:val="0"/>
          <w:i w:val="0"/>
          <w:color w:val="262B2E"/>
          <w:sz w:val="21"/>
        </w:rPr>
        <w:t>through our website, including website forms and communications;</w:t>
      </w:r>
    </w:p>
    <w:p>
      <w:pPr>
        <w:pStyle w:val="ListBullet"/>
        <w:spacing w:after="60" w:line="252" w:lineRule="auto"/>
        <w:ind w:left="403" w:hanging="202"/>
      </w:pPr>
      <w:r>
        <w:rPr>
          <w:rFonts w:ascii="Aptos" w:hAnsi="Aptos"/>
          <w:b w:val="0"/>
          <w:i w:val="0"/>
          <w:color w:val="262B2E"/>
          <w:sz w:val="21"/>
        </w:rPr>
        <w:t>through Company-approved email, secure file exchange, electronic-signature, accounting, tax, payroll, billing, payment, and communication systems;</w:t>
      </w:r>
    </w:p>
    <w:p>
      <w:pPr>
        <w:pStyle w:val="ListBullet"/>
        <w:spacing w:after="60" w:line="252" w:lineRule="auto"/>
        <w:ind w:left="403" w:hanging="202"/>
      </w:pPr>
      <w:r>
        <w:rPr>
          <w:rFonts w:ascii="Aptos" w:hAnsi="Aptos"/>
          <w:b w:val="0"/>
          <w:i w:val="0"/>
          <w:color w:val="262B2E"/>
          <w:sz w:val="21"/>
        </w:rPr>
        <w:t>through client onboarding, document exchange, professional-service delivery, support, and other interactions with us; and</w:t>
      </w:r>
    </w:p>
    <w:p>
      <w:pPr>
        <w:pStyle w:val="ListBullet"/>
        <w:spacing w:after="60" w:line="252" w:lineRule="auto"/>
        <w:ind w:left="403" w:hanging="202"/>
      </w:pPr>
      <w:r>
        <w:rPr>
          <w:rFonts w:ascii="Aptos" w:hAnsi="Aptos"/>
          <w:b w:val="0"/>
          <w:i w:val="0"/>
          <w:color w:val="262B2E"/>
          <w:sz w:val="21"/>
        </w:rPr>
        <w:t>from business clients about their owners, employees, contractors, customers, dependents, or other individuals when that information is necessary to provide the requested Services.</w:t>
      </w:r>
    </w:p>
    <w:p>
      <w:pPr>
        <w:spacing w:after="120" w:line="259" w:lineRule="auto"/>
      </w:pPr>
      <w:r>
        <w:rPr>
          <w:rFonts w:ascii="Aptos" w:hAnsi="Aptos"/>
          <w:b w:val="0"/>
          <w:i w:val="0"/>
          <w:color w:val="262B2E"/>
          <w:sz w:val="21"/>
        </w:rPr>
        <w:t>When a business client provides employee or other third-party information for payroll, bookkeeping, tax, compliance, or related Services, we process that information for the client and the authorized business purpose for which it was provided.</w:t>
      </w:r>
    </w:p>
    <w:p>
      <w:pPr>
        <w:keepNext/>
        <w:spacing w:before="200" w:after="100"/>
      </w:pPr>
      <w:r>
        <w:rPr>
          <w:rFonts w:ascii="Aptos" w:hAnsi="Aptos"/>
          <w:b/>
          <w:i w:val="0"/>
          <w:color w:val="23454F"/>
          <w:sz w:val="24"/>
        </w:rPr>
        <w:t>2. INFORMATION WE COLLECT</w:t>
      </w:r>
    </w:p>
    <w:p>
      <w:pPr>
        <w:keepNext/>
        <w:spacing w:before="140" w:after="80"/>
      </w:pPr>
      <w:r>
        <w:rPr>
          <w:rFonts w:ascii="Aptos" w:hAnsi="Aptos"/>
          <w:b/>
          <w:i w:val="0"/>
          <w:color w:val="23454F"/>
          <w:sz w:val="21"/>
        </w:rPr>
        <w:t>2.1 Information You Provide</w:t>
      </w:r>
    </w:p>
    <w:p>
      <w:pPr>
        <w:spacing w:after="120" w:line="259" w:lineRule="auto"/>
      </w:pPr>
      <w:r>
        <w:rPr>
          <w:rFonts w:ascii="Aptos" w:hAnsi="Aptos"/>
          <w:b w:val="0"/>
          <w:i w:val="0"/>
          <w:color w:val="262B2E"/>
          <w:sz w:val="21"/>
        </w:rPr>
        <w:t>Depending on the Services requested, we may collect or receive:</w:t>
      </w:r>
    </w:p>
    <w:p>
      <w:pPr>
        <w:pStyle w:val="ListBullet"/>
        <w:spacing w:after="60" w:line="252" w:lineRule="auto"/>
        <w:ind w:left="403" w:hanging="202"/>
      </w:pPr>
      <w:r>
        <w:rPr>
          <w:rFonts w:ascii="Aptos" w:hAnsi="Aptos"/>
          <w:b w:val="0"/>
          <w:i w:val="0"/>
          <w:color w:val="262B2E"/>
          <w:sz w:val="21"/>
        </w:rPr>
        <w:t>Contact and account information, such as name, mailing address, email address, telephone number, and account/contact details.</w:t>
      </w:r>
    </w:p>
    <w:p>
      <w:pPr>
        <w:pStyle w:val="ListBullet"/>
        <w:spacing w:after="60" w:line="252" w:lineRule="auto"/>
        <w:ind w:left="403" w:hanging="202"/>
      </w:pPr>
      <w:r>
        <w:rPr>
          <w:rFonts w:ascii="Aptos" w:hAnsi="Aptos"/>
          <w:b w:val="0"/>
          <w:i w:val="0"/>
          <w:color w:val="262B2E"/>
          <w:sz w:val="21"/>
        </w:rPr>
        <w:t>Business information, including business names, EINs, entity and formation records, ownership information, licenses, registrations, and other records relevant to the engagement.</w:t>
      </w:r>
    </w:p>
    <w:p>
      <w:pPr>
        <w:pStyle w:val="ListBullet"/>
        <w:spacing w:after="60" w:line="252" w:lineRule="auto"/>
        <w:ind w:left="403" w:hanging="202"/>
      </w:pPr>
      <w:r>
        <w:rPr>
          <w:rFonts w:ascii="Aptos" w:hAnsi="Aptos"/>
          <w:b w:val="0"/>
          <w:i w:val="0"/>
          <w:color w:val="262B2E"/>
          <w:sz w:val="21"/>
        </w:rPr>
        <w:t>Tax information, including tax returns and source documents, W-2s, Forms 1099 and K-1, Social Security numbers, taxpayer identification numbers, dates of birth, dependent information, and records needed for tax preparation, filing, compliance, or support.</w:t>
      </w:r>
    </w:p>
    <w:p>
      <w:pPr>
        <w:pStyle w:val="ListBullet"/>
        <w:spacing w:after="60" w:line="252" w:lineRule="auto"/>
        <w:ind w:left="403" w:hanging="202"/>
      </w:pPr>
      <w:r>
        <w:rPr>
          <w:rFonts w:ascii="Aptos" w:hAnsi="Aptos"/>
          <w:b w:val="0"/>
          <w:i w:val="0"/>
          <w:color w:val="262B2E"/>
          <w:sz w:val="21"/>
        </w:rPr>
        <w:t>Bookkeeping and accounting information, including bank and credit-card transaction data, income and expense records, invoices, receipts, financial statements, supporting documents, and accounting workpapers.</w:t>
      </w:r>
    </w:p>
    <w:p>
      <w:pPr>
        <w:pStyle w:val="ListBullet"/>
        <w:spacing w:after="60" w:line="252" w:lineRule="auto"/>
        <w:ind w:left="403" w:hanging="202"/>
      </w:pPr>
      <w:r>
        <w:rPr>
          <w:rFonts w:ascii="Aptos" w:hAnsi="Aptos"/>
          <w:b w:val="0"/>
          <w:i w:val="0"/>
          <w:color w:val="262B2E"/>
          <w:sz w:val="21"/>
        </w:rPr>
        <w:t>Payroll and employment information, including employee names and addresses, Social Security numbers, compensation, withholding information, direct-deposit data, employment forms, and payroll-related records.</w:t>
      </w:r>
    </w:p>
    <w:p>
      <w:pPr>
        <w:pStyle w:val="ListBullet"/>
        <w:spacing w:after="60" w:line="252" w:lineRule="auto"/>
        <w:ind w:left="403" w:hanging="202"/>
      </w:pPr>
      <w:r>
        <w:rPr>
          <w:rFonts w:ascii="Aptos" w:hAnsi="Aptos"/>
          <w:b w:val="0"/>
          <w:i w:val="0"/>
          <w:color w:val="262B2E"/>
          <w:sz w:val="21"/>
        </w:rPr>
        <w:t>Identity-verification information, such as driver-license, passport, or other government identification information when reasonably necessary for identity verification, fraud prevention, regulatory compliance, or the requested Services.</w:t>
      </w:r>
    </w:p>
    <w:p>
      <w:pPr>
        <w:pStyle w:val="ListBullet"/>
        <w:spacing w:after="60" w:line="252" w:lineRule="auto"/>
        <w:ind w:left="403" w:hanging="202"/>
      </w:pPr>
      <w:r>
        <w:rPr>
          <w:rFonts w:ascii="Aptos" w:hAnsi="Aptos"/>
          <w:b w:val="0"/>
          <w:i w:val="0"/>
          <w:color w:val="262B2E"/>
          <w:sz w:val="21"/>
        </w:rPr>
        <w:t>Billing and payment information used to issue invoices, receive payment, manage accounts, and address delinquent balances or collections.</w:t>
      </w:r>
    </w:p>
    <w:p>
      <w:pPr>
        <w:pStyle w:val="ListBullet"/>
        <w:spacing w:after="60" w:line="252" w:lineRule="auto"/>
        <w:ind w:left="403" w:hanging="202"/>
      </w:pPr>
      <w:r>
        <w:rPr>
          <w:rFonts w:ascii="Aptos" w:hAnsi="Aptos"/>
          <w:b w:val="0"/>
          <w:i w:val="0"/>
          <w:color w:val="262B2E"/>
          <w:sz w:val="21"/>
        </w:rPr>
        <w:t>Communications and engagement records, including emails, messages, meeting notes, electronic-signature records, uploaded documents, and other information you provide to us.</w:t>
      </w:r>
    </w:p>
    <w:p>
      <w:pPr>
        <w:spacing w:after="120" w:line="259" w:lineRule="auto"/>
      </w:pPr>
      <w:r>
        <w:rPr>
          <w:rFonts w:ascii="Aptos" w:hAnsi="Aptos"/>
          <w:b w:val="0"/>
          <w:i w:val="0"/>
          <w:color w:val="262B2E"/>
          <w:sz w:val="21"/>
        </w:rPr>
        <w:t>If you provide information about another individual, you represent that you are authorized to provide that information for the purpose for which it is submitted.</w:t>
      </w:r>
    </w:p>
    <w:p>
      <w:pPr>
        <w:keepNext/>
        <w:spacing w:before="140" w:after="80"/>
      </w:pPr>
      <w:r>
        <w:rPr>
          <w:rFonts w:ascii="Aptos" w:hAnsi="Aptos"/>
          <w:b/>
          <w:i w:val="0"/>
          <w:color w:val="23454F"/>
          <w:sz w:val="21"/>
        </w:rPr>
        <w:t>2.2 Information Collected Through the Website</w:t>
      </w:r>
    </w:p>
    <w:p>
      <w:pPr>
        <w:spacing w:after="120" w:line="259" w:lineRule="auto"/>
      </w:pPr>
      <w:r>
        <w:rPr>
          <w:rFonts w:ascii="Aptos" w:hAnsi="Aptos"/>
          <w:b w:val="0"/>
          <w:i w:val="0"/>
          <w:color w:val="262B2E"/>
          <w:sz w:val="21"/>
        </w:rPr>
        <w:t>When you use our website, Wix and other approved website technologies may automatically process basic technical and usage information, such as IP address, browser type, device or operating-system information, pages viewed, links selected, and cookie or similar technology data.</w:t>
      </w:r>
    </w:p>
    <w:p>
      <w:pPr>
        <w:keepNext/>
        <w:spacing w:before="200" w:after="100"/>
      </w:pPr>
      <w:r>
        <w:rPr>
          <w:rFonts w:ascii="Aptos" w:hAnsi="Aptos"/>
          <w:b/>
          <w:i w:val="0"/>
          <w:color w:val="23454F"/>
          <w:sz w:val="24"/>
        </w:rPr>
        <w:t>3. HOW WE USE PERSONAL INFORMATION</w:t>
      </w:r>
    </w:p>
    <w:p>
      <w:pPr>
        <w:spacing w:after="120" w:line="259" w:lineRule="auto"/>
      </w:pPr>
      <w:r>
        <w:rPr>
          <w:rFonts w:ascii="Aptos" w:hAnsi="Aptos"/>
          <w:b w:val="0"/>
          <w:i w:val="0"/>
          <w:color w:val="262B2E"/>
          <w:sz w:val="21"/>
        </w:rPr>
        <w:t>We use personal information for legitimate business and professional purposes, including:</w:t>
      </w:r>
    </w:p>
    <w:p>
      <w:pPr>
        <w:pStyle w:val="ListBullet"/>
        <w:spacing w:after="60" w:line="252" w:lineRule="auto"/>
        <w:ind w:left="403" w:hanging="202"/>
      </w:pPr>
      <w:r>
        <w:rPr>
          <w:rFonts w:ascii="Aptos" w:hAnsi="Aptos"/>
          <w:b w:val="0"/>
          <w:i w:val="0"/>
          <w:color w:val="262B2E"/>
          <w:sz w:val="21"/>
        </w:rPr>
        <w:t>providing and administering the Services, including tax, bookkeeping, accounting, payroll, compliance, consulting, and related support;</w:t>
      </w:r>
    </w:p>
    <w:p>
      <w:pPr>
        <w:pStyle w:val="ListBullet"/>
        <w:spacing w:after="60" w:line="252" w:lineRule="auto"/>
        <w:ind w:left="403" w:hanging="202"/>
      </w:pPr>
      <w:r>
        <w:rPr>
          <w:rFonts w:ascii="Aptos" w:hAnsi="Aptos"/>
          <w:b w:val="0"/>
          <w:i w:val="0"/>
          <w:color w:val="262B2E"/>
          <w:sz w:val="21"/>
        </w:rPr>
        <w:t>communicating with clients about onboarding, records, approvals, deadlines, appointments, filings, deliverables, and other engagement matters;</w:t>
      </w:r>
    </w:p>
    <w:p>
      <w:pPr>
        <w:pStyle w:val="ListBullet"/>
        <w:spacing w:after="60" w:line="252" w:lineRule="auto"/>
        <w:ind w:left="403" w:hanging="202"/>
      </w:pPr>
      <w:r>
        <w:rPr>
          <w:rFonts w:ascii="Aptos" w:hAnsi="Aptos"/>
          <w:b w:val="0"/>
          <w:i w:val="0"/>
          <w:color w:val="262B2E"/>
          <w:sz w:val="21"/>
        </w:rPr>
        <w:t>invoicing and collecting payment, including domestic billing and payment activity through Novo and approved international payment activity through Wise;</w:t>
      </w:r>
    </w:p>
    <w:p>
      <w:pPr>
        <w:pStyle w:val="ListBullet"/>
        <w:spacing w:after="60" w:line="252" w:lineRule="auto"/>
        <w:ind w:left="403" w:hanging="202"/>
      </w:pPr>
      <w:r>
        <w:rPr>
          <w:rFonts w:ascii="Aptos" w:hAnsi="Aptos"/>
          <w:b w:val="0"/>
          <w:i w:val="0"/>
          <w:color w:val="262B2E"/>
          <w:sz w:val="21"/>
        </w:rPr>
        <w:t>maintaining professional, tax, payroll, accounting, legal, security, and business records;</w:t>
      </w:r>
    </w:p>
    <w:p>
      <w:pPr>
        <w:pStyle w:val="ListBullet"/>
        <w:spacing w:after="60" w:line="252" w:lineRule="auto"/>
        <w:ind w:left="403" w:hanging="202"/>
      </w:pPr>
      <w:r>
        <w:rPr>
          <w:rFonts w:ascii="Aptos" w:hAnsi="Aptos"/>
          <w:b w:val="0"/>
          <w:i w:val="0"/>
          <w:color w:val="262B2E"/>
          <w:sz w:val="21"/>
        </w:rPr>
        <w:t>protecting Company and client systems, preventing fraud, conducting security training and monitoring, and responding to security incidents;</w:t>
      </w:r>
    </w:p>
    <w:p>
      <w:pPr>
        <w:pStyle w:val="ListBullet"/>
        <w:spacing w:after="60" w:line="252" w:lineRule="auto"/>
        <w:ind w:left="403" w:hanging="202"/>
      </w:pPr>
      <w:r>
        <w:rPr>
          <w:rFonts w:ascii="Aptos" w:hAnsi="Aptos"/>
          <w:b w:val="0"/>
          <w:i w:val="0"/>
          <w:color w:val="262B2E"/>
          <w:sz w:val="21"/>
        </w:rPr>
        <w:t>operating, maintaining, troubleshooting, securing, and improving our website, systems, and Services; and</w:t>
      </w:r>
    </w:p>
    <w:p>
      <w:pPr>
        <w:pStyle w:val="ListBullet"/>
        <w:spacing w:after="60" w:line="252" w:lineRule="auto"/>
        <w:ind w:left="403" w:hanging="202"/>
      </w:pPr>
      <w:r>
        <w:rPr>
          <w:rFonts w:ascii="Aptos" w:hAnsi="Aptos"/>
          <w:b w:val="0"/>
          <w:i w:val="0"/>
          <w:color w:val="262B2E"/>
          <w:sz w:val="21"/>
        </w:rPr>
        <w:t>sending limited marketing or informational communications where permitted by law and consistent with applicable preferences.</w:t>
      </w:r>
    </w:p>
    <w:p>
      <w:pPr>
        <w:spacing w:after="120" w:line="259" w:lineRule="auto"/>
      </w:pPr>
      <w:r>
        <w:rPr>
          <w:rFonts w:ascii="Aptos" w:hAnsi="Aptos"/>
          <w:b w:val="0"/>
          <w:i w:val="0"/>
          <w:color w:val="262B2E"/>
          <w:sz w:val="21"/>
        </w:rPr>
        <w:t>We do not sell or rent client lists or tax return information, and we do not use tax return information for unrelated marketing or commercial purposes.</w:t>
      </w:r>
    </w:p>
    <w:p>
      <w:pPr>
        <w:keepNext/>
        <w:spacing w:before="200" w:after="100"/>
      </w:pPr>
      <w:r>
        <w:rPr>
          <w:rFonts w:ascii="Aptos" w:hAnsi="Aptos"/>
          <w:b/>
          <w:i w:val="0"/>
          <w:color w:val="23454F"/>
          <w:sz w:val="24"/>
        </w:rPr>
        <w:t>4. SERVICE PROVIDERS AND SYSTEMS WE USE</w:t>
      </w:r>
    </w:p>
    <w:p>
      <w:pPr>
        <w:spacing w:after="120" w:line="259" w:lineRule="auto"/>
      </w:pPr>
      <w:r>
        <w:rPr>
          <w:rFonts w:ascii="Aptos" w:hAnsi="Aptos"/>
          <w:b w:val="0"/>
          <w:i w:val="0"/>
          <w:color w:val="262B2E"/>
          <w:sz w:val="21"/>
        </w:rPr>
        <w:t>We use approved third-party platforms and service providers to operate our business and deliver Services. Depending on the engagement, these providers may process personal information on our behalf or provide systems through which we or an authorized client user accesses information. Current examples include:</w:t>
      </w:r>
    </w:p>
    <w:p>
      <w:pPr>
        <w:pStyle w:val="ListBullet"/>
        <w:spacing w:after="60"/>
        <w:ind w:left="403" w:hanging="202"/>
      </w:pPr>
      <w:r>
        <w:rPr>
          <w:rFonts w:ascii="Aptos" w:hAnsi="Aptos"/>
          <w:b/>
          <w:i w:val="0"/>
          <w:color w:val="262B2E"/>
          <w:sz w:val="21"/>
        </w:rPr>
        <w:t xml:space="preserve">Wix: </w:t>
      </w:r>
      <w:r>
        <w:rPr>
          <w:rFonts w:ascii="Aptos" w:hAnsi="Aptos"/>
          <w:b w:val="0"/>
          <w:i w:val="0"/>
          <w:color w:val="262B2E"/>
          <w:sz w:val="21"/>
        </w:rPr>
        <w:t>website hosting, website forms, cookies, and basic website operations.</w:t>
      </w:r>
    </w:p>
    <w:p>
      <w:pPr>
        <w:pStyle w:val="ListBullet"/>
        <w:spacing w:after="60"/>
        <w:ind w:left="403" w:hanging="202"/>
      </w:pPr>
      <w:r>
        <w:rPr>
          <w:rFonts w:ascii="Aptos" w:hAnsi="Aptos"/>
          <w:b/>
          <w:i w:val="0"/>
          <w:color w:val="262B2E"/>
          <w:sz w:val="21"/>
        </w:rPr>
        <w:t xml:space="preserve">Seafile: </w:t>
      </w:r>
      <w:r>
        <w:rPr>
          <w:rFonts w:ascii="Aptos" w:hAnsi="Aptos"/>
          <w:b w:val="0"/>
          <w:i w:val="0"/>
          <w:color w:val="262B2E"/>
          <w:sz w:val="21"/>
        </w:rPr>
        <w:t>Company-approved secure client file exchange and document storage.</w:t>
      </w:r>
    </w:p>
    <w:p>
      <w:pPr>
        <w:pStyle w:val="ListBullet"/>
        <w:spacing w:after="60"/>
        <w:ind w:left="403" w:hanging="202"/>
      </w:pPr>
      <w:r>
        <w:rPr>
          <w:rFonts w:ascii="Aptos" w:hAnsi="Aptos"/>
          <w:b/>
          <w:i w:val="0"/>
          <w:color w:val="262B2E"/>
          <w:sz w:val="21"/>
        </w:rPr>
        <w:t xml:space="preserve">Microsoft 365: </w:t>
      </w:r>
      <w:r>
        <w:rPr>
          <w:rFonts w:ascii="Aptos" w:hAnsi="Aptos"/>
          <w:b w:val="0"/>
          <w:i w:val="0"/>
          <w:color w:val="262B2E"/>
          <w:sz w:val="21"/>
        </w:rPr>
        <w:t>Company email, productivity, administration, and related cloud services.</w:t>
      </w:r>
    </w:p>
    <w:p>
      <w:pPr>
        <w:pStyle w:val="ListBullet"/>
        <w:spacing w:after="60"/>
        <w:ind w:left="403" w:hanging="202"/>
      </w:pPr>
      <w:r>
        <w:rPr>
          <w:rFonts w:ascii="Aptos" w:hAnsi="Aptos"/>
          <w:b/>
          <w:i w:val="0"/>
          <w:color w:val="262B2E"/>
          <w:sz w:val="21"/>
        </w:rPr>
        <w:t xml:space="preserve">Microsoft Defender: </w:t>
      </w:r>
      <w:r>
        <w:rPr>
          <w:rFonts w:ascii="Aptos" w:hAnsi="Aptos"/>
          <w:b w:val="0"/>
          <w:i w:val="0"/>
          <w:color w:val="262B2E"/>
          <w:sz w:val="21"/>
        </w:rPr>
        <w:t>endpoint and security protection for Company-managed devices.</w:t>
      </w:r>
    </w:p>
    <w:p>
      <w:pPr>
        <w:pStyle w:val="ListBullet"/>
        <w:spacing w:after="60"/>
        <w:ind w:left="403" w:hanging="202"/>
      </w:pPr>
      <w:r>
        <w:rPr>
          <w:rFonts w:ascii="Aptos" w:hAnsi="Aptos"/>
          <w:b/>
          <w:i w:val="0"/>
          <w:color w:val="262B2E"/>
          <w:sz w:val="21"/>
        </w:rPr>
        <w:t xml:space="preserve">Intuit / QuickBooks Online: </w:t>
      </w:r>
      <w:r>
        <w:rPr>
          <w:rFonts w:ascii="Aptos" w:hAnsi="Aptos"/>
          <w:b w:val="0"/>
          <w:i w:val="0"/>
          <w:color w:val="262B2E"/>
          <w:sz w:val="21"/>
        </w:rPr>
        <w:t>bookkeeping and accounting services when used for a client engagement.</w:t>
      </w:r>
    </w:p>
    <w:p>
      <w:pPr>
        <w:pStyle w:val="ListBullet"/>
        <w:spacing w:after="60"/>
        <w:ind w:left="403" w:hanging="202"/>
      </w:pPr>
      <w:r>
        <w:rPr>
          <w:rFonts w:ascii="Aptos" w:hAnsi="Aptos"/>
          <w:b/>
          <w:i w:val="0"/>
          <w:color w:val="262B2E"/>
          <w:sz w:val="21"/>
        </w:rPr>
        <w:t xml:space="preserve">MyTaxPrepOffice: </w:t>
      </w:r>
      <w:r>
        <w:rPr>
          <w:rFonts w:ascii="Aptos" w:hAnsi="Aptos"/>
          <w:b w:val="0"/>
          <w:i w:val="0"/>
          <w:color w:val="262B2E"/>
          <w:sz w:val="21"/>
        </w:rPr>
        <w:t>tax preparation and tax workpaper processing.</w:t>
      </w:r>
    </w:p>
    <w:p>
      <w:pPr>
        <w:pStyle w:val="ListBullet"/>
        <w:spacing w:after="60"/>
        <w:ind w:left="403" w:hanging="202"/>
      </w:pPr>
      <w:r>
        <w:rPr>
          <w:rFonts w:ascii="Aptos" w:hAnsi="Aptos"/>
          <w:b/>
          <w:i w:val="0"/>
          <w:color w:val="262B2E"/>
          <w:sz w:val="21"/>
        </w:rPr>
        <w:t xml:space="preserve">ADP: </w:t>
      </w:r>
      <w:r>
        <w:rPr>
          <w:rFonts w:ascii="Aptos" w:hAnsi="Aptos"/>
          <w:b w:val="0"/>
          <w:i w:val="0"/>
          <w:color w:val="262B2E"/>
          <w:sz w:val="21"/>
        </w:rPr>
        <w:t>payroll processing and payroll-related information when authorized for an engagement.</w:t>
      </w:r>
    </w:p>
    <w:p>
      <w:pPr>
        <w:pStyle w:val="ListBullet"/>
        <w:spacing w:after="60"/>
        <w:ind w:left="403" w:hanging="202"/>
      </w:pPr>
      <w:r>
        <w:rPr>
          <w:rFonts w:ascii="Aptos" w:hAnsi="Aptos"/>
          <w:b/>
          <w:i w:val="0"/>
          <w:color w:val="262B2E"/>
          <w:sz w:val="21"/>
        </w:rPr>
        <w:t xml:space="preserve">SignWell: </w:t>
      </w:r>
      <w:r>
        <w:rPr>
          <w:rFonts w:ascii="Aptos" w:hAnsi="Aptos"/>
          <w:b w:val="0"/>
          <w:i w:val="0"/>
          <w:color w:val="262B2E"/>
          <w:sz w:val="21"/>
        </w:rPr>
        <w:t>electronic signatures and execution records.</w:t>
      </w:r>
    </w:p>
    <w:p>
      <w:pPr>
        <w:pStyle w:val="ListBullet"/>
        <w:spacing w:after="60"/>
        <w:ind w:left="403" w:hanging="202"/>
      </w:pPr>
      <w:r>
        <w:rPr>
          <w:rFonts w:ascii="Aptos" w:hAnsi="Aptos"/>
          <w:b/>
          <w:i w:val="0"/>
          <w:color w:val="262B2E"/>
          <w:sz w:val="21"/>
        </w:rPr>
        <w:t xml:space="preserve">Novo: </w:t>
      </w:r>
      <w:r>
        <w:rPr>
          <w:rFonts w:ascii="Aptos" w:hAnsi="Aptos"/>
          <w:b w:val="0"/>
          <w:i w:val="0"/>
          <w:color w:val="262B2E"/>
          <w:sz w:val="21"/>
        </w:rPr>
        <w:t>Company billing, invoicing, business banking, and domestic payment activity.</w:t>
      </w:r>
    </w:p>
    <w:p>
      <w:pPr>
        <w:pStyle w:val="ListBullet"/>
        <w:spacing w:after="60"/>
        <w:ind w:left="403" w:hanging="202"/>
      </w:pPr>
      <w:r>
        <w:rPr>
          <w:rFonts w:ascii="Aptos" w:hAnsi="Aptos"/>
          <w:b/>
          <w:i w:val="0"/>
          <w:color w:val="262B2E"/>
          <w:sz w:val="21"/>
        </w:rPr>
        <w:t xml:space="preserve">Wise: </w:t>
      </w:r>
      <w:r>
        <w:rPr>
          <w:rFonts w:ascii="Aptos" w:hAnsi="Aptos"/>
          <w:b w:val="0"/>
          <w:i w:val="0"/>
          <w:color w:val="262B2E"/>
          <w:sz w:val="21"/>
        </w:rPr>
        <w:t>approved international payment processing.</w:t>
      </w:r>
    </w:p>
    <w:p>
      <w:pPr>
        <w:pStyle w:val="ListBullet"/>
        <w:spacing w:after="60"/>
        <w:ind w:left="403" w:hanging="202"/>
      </w:pPr>
      <w:r>
        <w:rPr>
          <w:rFonts w:ascii="Aptos" w:hAnsi="Aptos"/>
          <w:b/>
          <w:i w:val="0"/>
          <w:color w:val="262B2E"/>
          <w:sz w:val="21"/>
        </w:rPr>
        <w:t xml:space="preserve">Zoom: </w:t>
      </w:r>
      <w:r>
        <w:rPr>
          <w:rFonts w:ascii="Aptos" w:hAnsi="Aptos"/>
          <w:b w:val="0"/>
          <w:i w:val="0"/>
          <w:color w:val="262B2E"/>
          <w:sz w:val="21"/>
        </w:rPr>
        <w:t>video meetings and business communications.</w:t>
      </w:r>
    </w:p>
    <w:p>
      <w:pPr>
        <w:pStyle w:val="ListBullet"/>
        <w:spacing w:after="60"/>
        <w:ind w:left="403" w:hanging="202"/>
      </w:pPr>
      <w:r>
        <w:rPr>
          <w:rFonts w:ascii="Aptos" w:hAnsi="Aptos"/>
          <w:b/>
          <w:i w:val="0"/>
          <w:color w:val="262B2E"/>
          <w:sz w:val="21"/>
        </w:rPr>
        <w:t xml:space="preserve">IC System: </w:t>
      </w:r>
      <w:r>
        <w:rPr>
          <w:rFonts w:ascii="Aptos" w:hAnsi="Aptos"/>
          <w:b w:val="0"/>
          <w:i w:val="0"/>
          <w:color w:val="262B2E"/>
          <w:sz w:val="21"/>
        </w:rPr>
        <w:t>third-party collection services when an account is referred for collection.</w:t>
      </w:r>
    </w:p>
    <w:p>
      <w:pPr>
        <w:pStyle w:val="ListBullet"/>
        <w:spacing w:after="60"/>
        <w:ind w:left="403" w:hanging="202"/>
      </w:pPr>
      <w:r>
        <w:rPr>
          <w:rFonts w:ascii="Aptos" w:hAnsi="Aptos"/>
          <w:b/>
          <w:i w:val="0"/>
          <w:color w:val="262B2E"/>
          <w:sz w:val="21"/>
        </w:rPr>
        <w:t xml:space="preserve">CanIPhish: </w:t>
      </w:r>
      <w:r>
        <w:rPr>
          <w:rFonts w:ascii="Aptos" w:hAnsi="Aptos"/>
          <w:b w:val="0"/>
          <w:i w:val="0"/>
          <w:color w:val="262B2E"/>
          <w:sz w:val="21"/>
        </w:rPr>
        <w:t>internal cybersecurity training and phishing simulations involving personnel information rather than client tax or financial data.</w:t>
      </w:r>
    </w:p>
    <w:p>
      <w:pPr>
        <w:pStyle w:val="ListBullet"/>
        <w:spacing w:after="60"/>
        <w:ind w:left="403" w:hanging="202"/>
      </w:pPr>
      <w:r>
        <w:rPr>
          <w:rFonts w:ascii="Aptos" w:hAnsi="Aptos"/>
          <w:b/>
          <w:i w:val="0"/>
          <w:color w:val="262B2E"/>
          <w:sz w:val="21"/>
        </w:rPr>
        <w:t xml:space="preserve">Google and Microsoft password-management services: </w:t>
      </w:r>
      <w:r>
        <w:rPr>
          <w:rFonts w:ascii="Aptos" w:hAnsi="Aptos"/>
          <w:b w:val="0"/>
          <w:i w:val="0"/>
          <w:color w:val="262B2E"/>
          <w:sz w:val="21"/>
        </w:rPr>
        <w:t>approved credential-management tools used on Company-approved accounts and devices.</w:t>
      </w:r>
    </w:p>
    <w:p>
      <w:pPr>
        <w:pStyle w:val="ListBullet"/>
        <w:spacing w:after="60"/>
        <w:ind w:left="403" w:hanging="202"/>
      </w:pPr>
      <w:r>
        <w:rPr>
          <w:rFonts w:ascii="Aptos" w:hAnsi="Aptos"/>
          <w:b/>
          <w:i w:val="0"/>
          <w:color w:val="262B2E"/>
          <w:sz w:val="21"/>
        </w:rPr>
        <w:t xml:space="preserve">OpenAI / ChatGPT: </w:t>
      </w:r>
      <w:r>
        <w:rPr>
          <w:rFonts w:ascii="Aptos" w:hAnsi="Aptos"/>
          <w:b w:val="0"/>
          <w:i w:val="0"/>
          <w:color w:val="262B2E"/>
          <w:sz w:val="21"/>
        </w:rPr>
        <w:t>approved business assistance subject to Company restrictions; Sensitive Information is not intentionally submitted unless separately authorized under Company policy and applicable requirements.</w:t>
      </w:r>
    </w:p>
    <w:p>
      <w:pPr>
        <w:spacing w:after="120" w:line="259" w:lineRule="auto"/>
      </w:pPr>
      <w:r>
        <w:rPr>
          <w:rFonts w:ascii="Aptos" w:hAnsi="Aptos"/>
          <w:b w:val="0"/>
          <w:i w:val="0"/>
          <w:color w:val="262B2E"/>
          <w:sz w:val="21"/>
        </w:rPr>
        <w:t>We may add, replace, or discontinue service providers as our business and security requirements evolve. We use risk-based vendor review and contractual or operational safeguards appropriate to the services and information involved.</w:t>
      </w:r>
    </w:p>
    <w:p>
      <w:pPr>
        <w:keepNext/>
        <w:spacing w:before="200" w:after="100"/>
      </w:pPr>
      <w:r>
        <w:rPr>
          <w:rFonts w:ascii="Aptos" w:hAnsi="Aptos"/>
          <w:b/>
          <w:i w:val="0"/>
          <w:color w:val="23454F"/>
          <w:sz w:val="24"/>
        </w:rPr>
        <w:t>5. BALITA BUSINESS ENABLERS AND OFFSHORE PROCESSING</w:t>
      </w:r>
    </w:p>
    <w:tbl>
      <w:tblPr>
        <w:tblW w:type="auto" w:w="0"/>
        <w:tblLayout w:type="fixed"/>
        <w:tblLook w:firstColumn="1" w:firstRow="1" w:lastColumn="0" w:lastRow="0" w:noHBand="0" w:noVBand="1" w:val="04A0"/>
      </w:tblPr>
      <w:tblGrid>
        <w:gridCol w:w="9432"/>
      </w:tblGrid>
      <w:tr>
        <w:tc>
          <w:tcPr>
            <w:tcW w:type="dxa" w:w="10080"/>
            <w:shd w:fill="EDF4F5"/>
            <w:tcMar>
              <w:top w:w="140" w:type="dxa"/>
              <w:start w:w="150" w:type="dxa"/>
              <w:bottom w:w="140" w:type="dxa"/>
              <w:end w:w="150" w:type="dxa"/>
            </w:tcMar>
          </w:tcPr>
          <w:p>
            <w:pPr>
              <w:spacing w:after="40"/>
            </w:pPr>
            <w:r>
              <w:rPr>
                <w:rFonts w:ascii="Aptos" w:hAnsi="Aptos"/>
                <w:b/>
                <w:i w:val="0"/>
                <w:color w:val="23454F"/>
                <w:sz w:val="21"/>
              </w:rPr>
              <w:t>India-based back-office support</w:t>
            </w:r>
          </w:p>
          <w:p>
            <w:pPr>
              <w:spacing w:after="0" w:line="252" w:lineRule="auto"/>
            </w:pPr>
            <w:r>
              <w:rPr>
                <w:rFonts w:ascii="Aptos" w:hAnsi="Aptos"/>
                <w:b w:val="0"/>
                <w:i w:val="0"/>
                <w:color w:val="262B2E"/>
                <w:sz w:val="19"/>
              </w:rPr>
              <w:t>Balita Business Enablers is an approved independent India-based service provider that may perform specifically assigned back-office and transactional support for Company engagements. The Company remains the U.S.-facing contracting entity and retains professional control, client billing authority, and final review of work delivered in the Company's name.</w:t>
            </w:r>
          </w:p>
        </w:tc>
      </w:tr>
    </w:tbl>
    <w:p>
      <w:pPr>
        <w:spacing w:after="120" w:line="259" w:lineRule="auto"/>
      </w:pPr>
      <w:r>
        <w:rPr>
          <w:rFonts w:ascii="Aptos" w:hAnsi="Aptos"/>
          <w:b w:val="0"/>
          <w:i w:val="0"/>
          <w:color w:val="262B2E"/>
          <w:sz w:val="21"/>
        </w:rPr>
        <w:t>When Balita is assigned to a client matter, access is limited to the systems and information reasonably necessary for the approved work. Balita access is subject to our Master Services Agreement, project-specific authorization, confidentiality requirements, security controls, access limitations, incident-reporting requirements, and the Company's Third-Party, Subcontractor &amp; Offshore Security Policy.</w:t>
      </w:r>
    </w:p>
    <w:p>
      <w:pPr>
        <w:spacing w:after="120" w:line="259" w:lineRule="auto"/>
      </w:pPr>
      <w:r>
        <w:rPr>
          <w:rFonts w:ascii="Aptos" w:hAnsi="Aptos"/>
          <w:b w:val="0"/>
          <w:i w:val="0"/>
          <w:color w:val="262B2E"/>
          <w:sz w:val="21"/>
        </w:rPr>
        <w:t>The currently approved Balita processing location is Second Floor, Kamala, Jawahar Nagar Lane, Sasthamangalam, Trivandrum 695003, India. Access from another office, home location, country, subcontractor, or processor is not authorized unless the Company approves the change in writing and any required client notice, authorization, consent, or other prerequisite has been satisfied.</w:t>
      </w:r>
    </w:p>
    <w:p>
      <w:pPr>
        <w:spacing w:after="120" w:line="259" w:lineRule="auto"/>
      </w:pPr>
      <w:r>
        <w:rPr>
          <w:rFonts w:ascii="Aptos" w:hAnsi="Aptos"/>
          <w:b w:val="0"/>
          <w:i w:val="0"/>
          <w:color w:val="262B2E"/>
          <w:sz w:val="21"/>
        </w:rPr>
        <w:t>Balita personnel may use Company-managed @sheltoncompliance.com accounts and approved systems solely for authorized work. Company policy prohibits unauthorized local storage, printing, personal cloud storage, removable-media transfer, or use of unapproved artificial-intelligence tools for Company or client Sensitive Information. Balita does not handle customer payments or Company banking/payment activity.</w:t>
      </w:r>
    </w:p>
    <w:p>
      <w:pPr>
        <w:spacing w:after="120" w:line="259" w:lineRule="auto"/>
      </w:pPr>
      <w:r>
        <w:rPr>
          <w:rFonts w:ascii="Aptos" w:hAnsi="Aptos"/>
          <w:b w:val="0"/>
          <w:i w:val="0"/>
          <w:color w:val="262B2E"/>
          <w:sz w:val="21"/>
        </w:rPr>
        <w:t>For tax return information, we evaluate applicable Internal Revenue Code section 7216 and related regulations before offshore use or disclosure. When taxpayer consent or another specific authorization is required, the applicable information will not be provided to Balita until the required consent or authorization has been completed.</w:t>
      </w:r>
    </w:p>
    <w:p>
      <w:pPr>
        <w:keepNext/>
        <w:spacing w:before="200" w:after="100"/>
      </w:pPr>
      <w:r>
        <w:rPr>
          <w:rFonts w:ascii="Aptos" w:hAnsi="Aptos"/>
          <w:b/>
          <w:i w:val="0"/>
          <w:color w:val="23454F"/>
          <w:sz w:val="24"/>
        </w:rPr>
        <w:t>6. OTHER DISCLOSURES OF PERSONAL INFORMATION</w:t>
      </w:r>
    </w:p>
    <w:p>
      <w:pPr>
        <w:keepNext/>
        <w:spacing w:before="140" w:after="80"/>
      </w:pPr>
      <w:r>
        <w:rPr>
          <w:rFonts w:ascii="Aptos" w:hAnsi="Aptos"/>
          <w:b/>
          <w:i w:val="0"/>
          <w:color w:val="23454F"/>
          <w:sz w:val="21"/>
        </w:rPr>
        <w:t>6.1 Legal, Professional, Compliance and Safety Disclosures</w:t>
      </w:r>
    </w:p>
    <w:p>
      <w:pPr>
        <w:spacing w:after="120" w:line="259" w:lineRule="auto"/>
      </w:pPr>
      <w:r>
        <w:rPr>
          <w:rFonts w:ascii="Aptos" w:hAnsi="Aptos"/>
          <w:b w:val="0"/>
          <w:i w:val="0"/>
          <w:color w:val="262B2E"/>
          <w:sz w:val="21"/>
        </w:rPr>
        <w:t>We may disclose personal information as reasonably necessary:</w:t>
      </w:r>
    </w:p>
    <w:p>
      <w:pPr>
        <w:pStyle w:val="ListBullet"/>
        <w:spacing w:after="60" w:line="252" w:lineRule="auto"/>
        <w:ind w:left="403" w:hanging="202"/>
      </w:pPr>
      <w:r>
        <w:rPr>
          <w:rFonts w:ascii="Aptos" w:hAnsi="Aptos"/>
          <w:b w:val="0"/>
          <w:i w:val="0"/>
          <w:color w:val="262B2E"/>
          <w:sz w:val="21"/>
        </w:rPr>
        <w:t>to federal, state, or local taxing, payroll, licensing, regulatory, or other government authorities in connection with authorized filings, submissions, notices, or lawful requests;</w:t>
      </w:r>
    </w:p>
    <w:p>
      <w:pPr>
        <w:pStyle w:val="ListBullet"/>
        <w:spacing w:after="60" w:line="252" w:lineRule="auto"/>
        <w:ind w:left="403" w:hanging="202"/>
      </w:pPr>
      <w:r>
        <w:rPr>
          <w:rFonts w:ascii="Aptos" w:hAnsi="Aptos"/>
          <w:b w:val="0"/>
          <w:i w:val="0"/>
          <w:color w:val="262B2E"/>
          <w:sz w:val="21"/>
        </w:rPr>
        <w:t>to attorneys, accountants, insurers, forensic professionals, auditors, or other professional advisors when appropriate to protect the Company, a client, or an engagement;</w:t>
      </w:r>
    </w:p>
    <w:p>
      <w:pPr>
        <w:pStyle w:val="ListBullet"/>
        <w:spacing w:after="60" w:line="252" w:lineRule="auto"/>
        <w:ind w:left="403" w:hanging="202"/>
      </w:pPr>
      <w:r>
        <w:rPr>
          <w:rFonts w:ascii="Aptos" w:hAnsi="Aptos"/>
          <w:b w:val="0"/>
          <w:i w:val="0"/>
          <w:color w:val="262B2E"/>
          <w:sz w:val="21"/>
        </w:rPr>
        <w:t>to approved service providers and platforms that support the Services or Company operations;</w:t>
      </w:r>
    </w:p>
    <w:p>
      <w:pPr>
        <w:pStyle w:val="ListBullet"/>
        <w:spacing w:after="60" w:line="252" w:lineRule="auto"/>
        <w:ind w:left="403" w:hanging="202"/>
      </w:pPr>
      <w:r>
        <w:rPr>
          <w:rFonts w:ascii="Aptos" w:hAnsi="Aptos"/>
          <w:b w:val="0"/>
          <w:i w:val="0"/>
          <w:color w:val="262B2E"/>
          <w:sz w:val="21"/>
        </w:rPr>
        <w:t>to investigate, contain, remediate, or report fraud, unauthorized access, cyber incidents, or other security concerns; and</w:t>
      </w:r>
    </w:p>
    <w:p>
      <w:pPr>
        <w:pStyle w:val="ListBullet"/>
        <w:spacing w:after="60" w:line="252" w:lineRule="auto"/>
        <w:ind w:left="403" w:hanging="202"/>
      </w:pPr>
      <w:r>
        <w:rPr>
          <w:rFonts w:ascii="Aptos" w:hAnsi="Aptos"/>
          <w:b w:val="0"/>
          <w:i w:val="0"/>
          <w:color w:val="262B2E"/>
          <w:sz w:val="21"/>
        </w:rPr>
        <w:t>as otherwise required or permitted by law, regulation, contract, professional duty, or a valid legal process.</w:t>
      </w:r>
    </w:p>
    <w:p>
      <w:pPr>
        <w:keepNext/>
        <w:spacing w:before="140" w:after="80"/>
      </w:pPr>
      <w:r>
        <w:rPr>
          <w:rFonts w:ascii="Aptos" w:hAnsi="Aptos"/>
          <w:b/>
          <w:i w:val="0"/>
          <w:color w:val="23454F"/>
          <w:sz w:val="21"/>
        </w:rPr>
        <w:t>6.2 Billing, Payments and Collections</w:t>
      </w:r>
    </w:p>
    <w:p>
      <w:pPr>
        <w:spacing w:after="120" w:line="259" w:lineRule="auto"/>
      </w:pPr>
      <w:r>
        <w:rPr>
          <w:rFonts w:ascii="Aptos" w:hAnsi="Aptos"/>
          <w:b w:val="0"/>
          <w:i w:val="0"/>
          <w:color w:val="262B2E"/>
          <w:sz w:val="21"/>
        </w:rPr>
        <w:t>Novo is used for Company billing, invoicing, business banking, and domestic payment activity. Wise is used for approved international payments. If an account becomes delinquent and is referred for collection, the Company may disclose to IC System or legal counsel the account, contact, invoice, service, payment, and supporting information reasonably necessary to pursue or administer the collection, consistent with applicable law and the Company's Payment Terms &amp; Collections Policy.</w:t>
      </w:r>
    </w:p>
    <w:p>
      <w:pPr>
        <w:keepNext/>
        <w:spacing w:before="140" w:after="80"/>
      </w:pPr>
      <w:r>
        <w:rPr>
          <w:rFonts w:ascii="Aptos" w:hAnsi="Aptos"/>
          <w:b/>
          <w:i w:val="0"/>
          <w:color w:val="23454F"/>
          <w:sz w:val="21"/>
        </w:rPr>
        <w:t>6.3 At Your Direction</w:t>
      </w:r>
    </w:p>
    <w:p>
      <w:pPr>
        <w:spacing w:after="120" w:line="259" w:lineRule="auto"/>
      </w:pPr>
      <w:r>
        <w:rPr>
          <w:rFonts w:ascii="Aptos" w:hAnsi="Aptos"/>
          <w:b w:val="0"/>
          <w:i w:val="0"/>
          <w:color w:val="262B2E"/>
          <w:sz w:val="21"/>
        </w:rPr>
        <w:t>We may disclose personal information when you direct us to do so or authorize a specific disclosure. When written authorization is required by law, professional obligation, contract, or Company policy, we will require an appropriate written authorization before releasing the information.</w:t>
      </w:r>
    </w:p>
    <w:p>
      <w:pPr>
        <w:keepNext/>
        <w:spacing w:before="200" w:after="100"/>
      </w:pPr>
      <w:r>
        <w:rPr>
          <w:rFonts w:ascii="Aptos" w:hAnsi="Aptos"/>
          <w:b/>
          <w:i w:val="0"/>
          <w:color w:val="23454F"/>
          <w:sz w:val="24"/>
        </w:rPr>
        <w:t>7. TAX RETURN INFORMATION AND CONFIDENTIALITY</w:t>
      </w:r>
    </w:p>
    <w:p>
      <w:pPr>
        <w:spacing w:after="120" w:line="259" w:lineRule="auto"/>
      </w:pPr>
      <w:r>
        <w:rPr>
          <w:rFonts w:ascii="Aptos" w:hAnsi="Aptos"/>
          <w:b w:val="0"/>
          <w:i w:val="0"/>
          <w:color w:val="262B2E"/>
          <w:sz w:val="21"/>
        </w:rPr>
        <w:t>Tax return information is subject to heightened confidentiality protections. We do not use tax return information for unrelated marketing, cross-selling, model training, or other non-tax commercial purposes. If a proposed use or disclosure requires taxpayer consent under Internal Revenue Code section 7216 or applicable regulations, the Company will obtain the required consent in a separate form before the use or disclosure occurs.</w:t>
      </w:r>
    </w:p>
    <w:p>
      <w:pPr>
        <w:spacing w:after="120" w:line="259" w:lineRule="auto"/>
      </w:pPr>
      <w:r>
        <w:rPr>
          <w:rFonts w:ascii="Aptos" w:hAnsi="Aptos"/>
          <w:b w:val="0"/>
          <w:i w:val="0"/>
          <w:color w:val="262B2E"/>
          <w:sz w:val="21"/>
        </w:rPr>
        <w:t>Client and tax information is provided only to personnel and approved service providers who have a legitimate need for the information and are subject to applicable confidentiality and security requirements.</w:t>
      </w:r>
    </w:p>
    <w:p>
      <w:pPr>
        <w:keepNext/>
        <w:spacing w:before="200" w:after="100"/>
      </w:pPr>
      <w:r>
        <w:rPr>
          <w:rFonts w:ascii="Aptos" w:hAnsi="Aptos"/>
          <w:b/>
          <w:i w:val="0"/>
          <w:color w:val="23454F"/>
          <w:sz w:val="24"/>
        </w:rPr>
        <w:t>8. COOKIES, WEBSITE TECHNOLOGY AND MARKETING</w:t>
      </w:r>
    </w:p>
    <w:p>
      <w:pPr>
        <w:keepNext/>
        <w:spacing w:before="140" w:after="80"/>
      </w:pPr>
      <w:r>
        <w:rPr>
          <w:rFonts w:ascii="Aptos" w:hAnsi="Aptos"/>
          <w:b/>
          <w:i w:val="0"/>
          <w:color w:val="23454F"/>
          <w:sz w:val="21"/>
        </w:rPr>
        <w:t>8.1 Cookies and Website Use Data</w:t>
      </w:r>
    </w:p>
    <w:p>
      <w:pPr>
        <w:spacing w:after="120" w:line="259" w:lineRule="auto"/>
      </w:pPr>
      <w:r>
        <w:rPr>
          <w:rFonts w:ascii="Aptos" w:hAnsi="Aptos"/>
          <w:b w:val="0"/>
          <w:i w:val="0"/>
          <w:color w:val="262B2E"/>
          <w:sz w:val="21"/>
        </w:rPr>
        <w:t>Our Wix-hosted website may use cookies and similar technologies for site functionality, security, basic analytics, and performance. You can control cookies through your browser settings, although disabling some cookies may affect website functionality.</w:t>
      </w:r>
    </w:p>
    <w:p>
      <w:pPr>
        <w:spacing w:after="120" w:line="259" w:lineRule="auto"/>
      </w:pPr>
      <w:r>
        <w:rPr>
          <w:rFonts w:ascii="Aptos" w:hAnsi="Aptos"/>
          <w:b w:val="0"/>
          <w:i w:val="0"/>
          <w:color w:val="262B2E"/>
          <w:sz w:val="21"/>
        </w:rPr>
        <w:t>We do not intentionally deploy keystroke logging, session-replay tools, mouse-movement tracking, behavioral profiling, or similar invasive tracking technologies for our own purposes. Third-party website infrastructure may process technical and aggregate usage information as part of operating or securing the website.</w:t>
      </w:r>
    </w:p>
    <w:p>
      <w:pPr>
        <w:keepNext/>
        <w:spacing w:before="140" w:after="80"/>
      </w:pPr>
      <w:r>
        <w:rPr>
          <w:rFonts w:ascii="Aptos" w:hAnsi="Aptos"/>
          <w:b/>
          <w:i w:val="0"/>
          <w:color w:val="23454F"/>
          <w:sz w:val="21"/>
        </w:rPr>
        <w:t>8.2 Marketing Communications</w:t>
      </w:r>
    </w:p>
    <w:p>
      <w:pPr>
        <w:spacing w:after="120" w:line="259" w:lineRule="auto"/>
      </w:pPr>
      <w:r>
        <w:rPr>
          <w:rFonts w:ascii="Aptos" w:hAnsi="Aptos"/>
          <w:b w:val="0"/>
          <w:i w:val="0"/>
          <w:color w:val="262B2E"/>
          <w:sz w:val="21"/>
        </w:rPr>
        <w:t>If we send marketing communications, we will provide an applicable unsubscribe or opt-out method and honor valid opt-out requests as required by law. An opt-out from marketing does not prevent us from sending engagement, security, billing, document-request, deadline, legal, or other non-marketing communications relating to the Services or an existing relationship.</w:t>
      </w:r>
    </w:p>
    <w:p>
      <w:pPr>
        <w:keepNext/>
        <w:spacing w:before="200" w:after="100"/>
      </w:pPr>
      <w:r>
        <w:rPr>
          <w:rFonts w:ascii="Aptos" w:hAnsi="Aptos"/>
          <w:b/>
          <w:i w:val="0"/>
          <w:color w:val="23454F"/>
          <w:sz w:val="24"/>
        </w:rPr>
        <w:t>9. DATA SECURITY</w:t>
      </w:r>
    </w:p>
    <w:p>
      <w:pPr>
        <w:spacing w:after="120" w:line="259" w:lineRule="auto"/>
      </w:pPr>
      <w:r>
        <w:rPr>
          <w:rFonts w:ascii="Aptos" w:hAnsi="Aptos"/>
          <w:b w:val="0"/>
          <w:i w:val="0"/>
          <w:color w:val="262B2E"/>
          <w:sz w:val="21"/>
        </w:rPr>
        <w:t>We maintain a written information security program and use administrative, technical, and physical safeguards designed for the size, complexity, and sensitivity of our operations. Our controls include Company-managed devices, multi-factor authentication, approved secure systems, endpoint protection, access restrictions, cybersecurity training, phishing simulations, vendor oversight, incident-response procedures, and other risk-based safeguards.</w:t>
      </w:r>
    </w:p>
    <w:p>
      <w:pPr>
        <w:spacing w:after="120" w:line="259" w:lineRule="auto"/>
      </w:pPr>
      <w:r>
        <w:rPr>
          <w:rFonts w:ascii="Aptos" w:hAnsi="Aptos"/>
          <w:b w:val="0"/>
          <w:i w:val="0"/>
          <w:color w:val="262B2E"/>
          <w:sz w:val="21"/>
        </w:rPr>
        <w:t>Seafile is our approved secure client-file exchange platform for Sensitive Information. Sensitive Information should not be sent through ordinary or unencrypted email. Company personnel and authorized service providers are required to use approved systems and follow the Company's information-security, acceptable-use, data-handling, offshore-processing, and incident-response requirements.</w:t>
      </w:r>
    </w:p>
    <w:p>
      <w:pPr>
        <w:spacing w:after="120" w:line="259" w:lineRule="auto"/>
      </w:pPr>
      <w:r>
        <w:rPr>
          <w:rFonts w:ascii="Aptos" w:hAnsi="Aptos"/>
          <w:b w:val="0"/>
          <w:i w:val="0"/>
          <w:color w:val="262B2E"/>
          <w:sz w:val="21"/>
        </w:rPr>
        <w:t>No method of electronic transmission or storage can be guaranteed to be completely secure. Clients should use our approved secure file-exchange methods when providing tax documents, identity information, payroll records, financial information, or other Sensitive Information.</w:t>
      </w:r>
    </w:p>
    <w:p>
      <w:pPr>
        <w:keepNext/>
        <w:spacing w:before="200" w:after="100"/>
      </w:pPr>
      <w:r>
        <w:rPr>
          <w:rFonts w:ascii="Aptos" w:hAnsi="Aptos"/>
          <w:b/>
          <w:i w:val="0"/>
          <w:color w:val="23454F"/>
          <w:sz w:val="24"/>
        </w:rPr>
        <w:t>10. PAPERLESS OPERATIONS, RETENTION AND SECURE DISPOSAL</w:t>
      </w:r>
    </w:p>
    <w:p>
      <w:pPr>
        <w:keepNext/>
        <w:spacing w:before="140" w:after="80"/>
      </w:pPr>
      <w:r>
        <w:rPr>
          <w:rFonts w:ascii="Aptos" w:hAnsi="Aptos"/>
          <w:b/>
          <w:i w:val="0"/>
          <w:color w:val="23454F"/>
          <w:sz w:val="21"/>
        </w:rPr>
        <w:t>10.1 Paperless Operations</w:t>
      </w:r>
    </w:p>
    <w:p>
      <w:pPr>
        <w:spacing w:after="120" w:line="259" w:lineRule="auto"/>
      </w:pPr>
      <w:r>
        <w:rPr>
          <w:rFonts w:ascii="Aptos" w:hAnsi="Aptos"/>
          <w:b w:val="0"/>
          <w:i w:val="0"/>
          <w:color w:val="262B2E"/>
          <w:sz w:val="21"/>
        </w:rPr>
        <w:t>The Company operates on a paperless basis and does not intentionally print Client or Sensitive Information. A narrow exception may be approved when paper is required for a legal, governmental, regulatory, or similarly necessary business purpose. Any physical record received or created under an approved exception must be secured, digitized or returned when appropriate, and securely destroyed when retention is no longer required.</w:t>
      </w:r>
    </w:p>
    <w:p>
      <w:pPr>
        <w:keepNext/>
        <w:spacing w:before="140" w:after="80"/>
      </w:pPr>
      <w:r>
        <w:rPr>
          <w:rFonts w:ascii="Aptos" w:hAnsi="Aptos"/>
          <w:b/>
          <w:i w:val="0"/>
          <w:color w:val="23454F"/>
          <w:sz w:val="21"/>
        </w:rPr>
        <w:t>10.2 Retention</w:t>
      </w:r>
    </w:p>
    <w:p>
      <w:pPr>
        <w:spacing w:after="120" w:line="259" w:lineRule="auto"/>
      </w:pPr>
      <w:r>
        <w:rPr>
          <w:rFonts w:ascii="Aptos" w:hAnsi="Aptos"/>
          <w:b w:val="0"/>
          <w:i w:val="0"/>
          <w:color w:val="262B2E"/>
          <w:sz w:val="21"/>
        </w:rPr>
        <w:t>As a Company record-retention standard, we generally retain core client, tax, accounting, bookkeeping, payroll, compliance, billing/payment-verification, incident, training/access, and vendor-due-diligence records for seven (7) years unless a longer or shorter period is required or permitted by law, legal hold, contract, professional obligation, technical limitation, or documented business need. The seven-year period is a Company standard and is not a representation that every category of information is legally required to be retained for seven years.</w:t>
      </w:r>
    </w:p>
    <w:p>
      <w:pPr>
        <w:keepNext/>
        <w:spacing w:before="140" w:after="80"/>
      </w:pPr>
      <w:r>
        <w:rPr>
          <w:rFonts w:ascii="Aptos" w:hAnsi="Aptos"/>
          <w:b/>
          <w:i w:val="0"/>
          <w:color w:val="23454F"/>
          <w:sz w:val="21"/>
        </w:rPr>
        <w:t>10.3 Secure Disposal</w:t>
      </w:r>
    </w:p>
    <w:p>
      <w:pPr>
        <w:spacing w:after="120" w:line="259" w:lineRule="auto"/>
      </w:pPr>
      <w:r>
        <w:rPr>
          <w:rFonts w:ascii="Aptos" w:hAnsi="Aptos"/>
          <w:b w:val="0"/>
          <w:i w:val="0"/>
          <w:color w:val="262B2E"/>
          <w:sz w:val="21"/>
        </w:rPr>
        <w:t>When records no longer need to be retained, we use reasonable measures to delete or destroy them securely, taking into account active systems, vendor retention functions, backup cycles, legal holds, and the technical ability to perform targeted deletion. Company devices and storage media are securely wiped or otherwise handled before disposal or reuse where appropriate.</w:t>
      </w:r>
    </w:p>
    <w:p>
      <w:pPr>
        <w:keepNext/>
        <w:spacing w:before="200" w:after="100"/>
      </w:pPr>
      <w:r>
        <w:rPr>
          <w:rFonts w:ascii="Aptos" w:hAnsi="Aptos"/>
          <w:b/>
          <w:i w:val="0"/>
          <w:color w:val="23454F"/>
          <w:sz w:val="24"/>
        </w:rPr>
        <w:t>11. INCIDENT RESPONSE AND BREACH NOTIFICATION</w:t>
      </w:r>
    </w:p>
    <w:p>
      <w:pPr>
        <w:spacing w:after="120" w:line="259" w:lineRule="auto"/>
      </w:pPr>
      <w:r>
        <w:rPr>
          <w:rFonts w:ascii="Aptos" w:hAnsi="Aptos"/>
          <w:b w:val="0"/>
          <w:i w:val="0"/>
          <w:color w:val="262B2E"/>
          <w:sz w:val="21"/>
        </w:rPr>
        <w:t>If we learn of an actual or suspected security incident involving personal information, our designated incident leads will investigate, contain, document, remediate, and recover from the event in accordance with the Company's Written Information Security Plan and Incident Response Policy. We may coordinate with legal counsel, our cyber insurer, affected technology providers, qualified forensic or security professionals, government authorities, and other appropriate parties based on the circumstances.</w:t>
      </w:r>
    </w:p>
    <w:p>
      <w:pPr>
        <w:spacing w:after="120" w:line="259" w:lineRule="auto"/>
      </w:pPr>
      <w:r>
        <w:rPr>
          <w:rFonts w:ascii="Aptos" w:hAnsi="Aptos"/>
          <w:b w:val="0"/>
          <w:i w:val="0"/>
          <w:color w:val="262B2E"/>
          <w:sz w:val="21"/>
        </w:rPr>
        <w:t>When notification is legally required, we will provide or coordinate notifications in accordance with applicable federal and state requirements, which may include the Florida Information Protection Act, federal Safeguards Rule requirements, IRS tax-professional data-theft procedures, or other applicable obligations.</w:t>
      </w:r>
    </w:p>
    <w:p>
      <w:pPr>
        <w:spacing w:after="120" w:line="259" w:lineRule="auto"/>
      </w:pPr>
      <w:r>
        <w:rPr>
          <w:rFonts w:ascii="Aptos" w:hAnsi="Aptos"/>
          <w:b w:val="0"/>
          <w:i w:val="0"/>
          <w:color w:val="262B2E"/>
          <w:sz w:val="21"/>
        </w:rPr>
        <w:t>Suspected security incidents involving Company or client information may be reported to security@sheltoncompliance.com. If Company email appears to be compromised, affected personnel are instructed to use a trusted out-of-band method rather than relying on the affected email system.</w:t>
      </w:r>
    </w:p>
    <w:p>
      <w:pPr>
        <w:keepNext/>
        <w:spacing w:before="200" w:after="100"/>
      </w:pPr>
      <w:r>
        <w:rPr>
          <w:rFonts w:ascii="Aptos" w:hAnsi="Aptos"/>
          <w:b/>
          <w:i w:val="0"/>
          <w:color w:val="23454F"/>
          <w:sz w:val="24"/>
        </w:rPr>
        <w:t>12. CHILDREN AND DEPENDENT INFORMATION</w:t>
      </w:r>
    </w:p>
    <w:p>
      <w:pPr>
        <w:spacing w:after="120" w:line="259" w:lineRule="auto"/>
      </w:pPr>
      <w:r>
        <w:rPr>
          <w:rFonts w:ascii="Aptos" w:hAnsi="Aptos"/>
          <w:b w:val="0"/>
          <w:i w:val="0"/>
          <w:color w:val="262B2E"/>
          <w:sz w:val="21"/>
        </w:rPr>
        <w:t>Our website and Services are intended for adults age eighteen (18) or older, and we do not knowingly enter into direct service engagements with minors.</w:t>
      </w:r>
    </w:p>
    <w:p>
      <w:pPr>
        <w:spacing w:after="120" w:line="259" w:lineRule="auto"/>
      </w:pPr>
      <w:r>
        <w:rPr>
          <w:rFonts w:ascii="Aptos" w:hAnsi="Aptos"/>
          <w:b w:val="0"/>
          <w:i w:val="0"/>
          <w:color w:val="262B2E"/>
          <w:sz w:val="21"/>
        </w:rPr>
        <w:t>Adult clients may provide information about children or other dependents when necessary for tax preparation, payroll, benefits, compliance, or related Services. We use such information only for the authorized professional purpose, legal or regulatory requirements, and related recordkeeping. We do not use dependent or minor information for unrelated advertising, profiling, or marketing.</w:t>
      </w:r>
    </w:p>
    <w:p>
      <w:pPr>
        <w:spacing w:after="120" w:line="259" w:lineRule="auto"/>
      </w:pPr>
      <w:r>
        <w:rPr>
          <w:rFonts w:ascii="Aptos" w:hAnsi="Aptos"/>
          <w:b w:val="0"/>
          <w:i w:val="0"/>
          <w:color w:val="262B2E"/>
          <w:sz w:val="21"/>
        </w:rPr>
        <w:t>If we learn that personal information was submitted directly by a minor without appropriate parent, guardian, or other lawful involvement, we will take reasonable steps to address or delete the information consistent with applicable law and our record-retention obligations.</w:t>
      </w:r>
    </w:p>
    <w:p>
      <w:pPr>
        <w:keepNext/>
        <w:spacing w:before="200" w:after="100"/>
      </w:pPr>
      <w:r>
        <w:rPr>
          <w:rFonts w:ascii="Aptos" w:hAnsi="Aptos"/>
          <w:b/>
          <w:i w:val="0"/>
          <w:color w:val="23454F"/>
          <w:sz w:val="24"/>
        </w:rPr>
        <w:t>13. ACCESS, CORRECTION AND CLIENT REQUESTS</w:t>
      </w:r>
    </w:p>
    <w:p>
      <w:pPr>
        <w:spacing w:after="120" w:line="259" w:lineRule="auto"/>
      </w:pPr>
      <w:r>
        <w:rPr>
          <w:rFonts w:ascii="Aptos" w:hAnsi="Aptos"/>
          <w:b w:val="0"/>
          <w:i w:val="0"/>
          <w:color w:val="262B2E"/>
          <w:sz w:val="21"/>
        </w:rPr>
        <w:t>You may request access to or correction of personal information we maintain about you, subject to identity verification and applicable legal, tax, professional, contractual, security, and record-retention requirements. We may retain records even after a request when retention is required or permitted for legitimate legal, regulatory, professional, security, or business purposes.</w:t>
      </w:r>
    </w:p>
    <w:p>
      <w:pPr>
        <w:keepNext/>
        <w:spacing w:before="200" w:after="100"/>
      </w:pPr>
      <w:r>
        <w:rPr>
          <w:rFonts w:ascii="Aptos" w:hAnsi="Aptos"/>
          <w:b/>
          <w:i w:val="0"/>
          <w:color w:val="23454F"/>
          <w:sz w:val="24"/>
        </w:rPr>
        <w:t>14. UPDATES TO THIS PRIVACY POLICY</w:t>
      </w:r>
    </w:p>
    <w:p>
      <w:pPr>
        <w:spacing w:after="120" w:line="259" w:lineRule="auto"/>
      </w:pPr>
      <w:r>
        <w:rPr>
          <w:rFonts w:ascii="Aptos" w:hAnsi="Aptos"/>
          <w:b w:val="0"/>
          <w:i w:val="0"/>
          <w:color w:val="262B2E"/>
          <w:sz w:val="21"/>
        </w:rPr>
        <w:t>We may update this Privacy Policy to reflect changes in our Services, systems, service providers, offshore processing, legal obligations, or security practices. When we make a material update, we will revise the effective or last-updated date and publish the current version through our website or another appropriate Company channel.</w:t>
      </w:r>
    </w:p>
    <w:p>
      <w:pPr>
        <w:keepNext/>
        <w:spacing w:before="200" w:after="100"/>
      </w:pPr>
      <w:r>
        <w:rPr>
          <w:rFonts w:ascii="Aptos" w:hAnsi="Aptos"/>
          <w:b/>
          <w:i w:val="0"/>
          <w:color w:val="23454F"/>
          <w:sz w:val="24"/>
        </w:rPr>
        <w:t>15. CONTACT US</w:t>
      </w:r>
    </w:p>
    <w:p>
      <w:pPr>
        <w:spacing w:after="120" w:line="259" w:lineRule="auto"/>
      </w:pPr>
      <w:r>
        <w:rPr>
          <w:rFonts w:ascii="Aptos" w:hAnsi="Aptos"/>
          <w:b w:val="0"/>
          <w:i w:val="0"/>
          <w:color w:val="262B2E"/>
          <w:sz w:val="21"/>
        </w:rPr>
        <w:t>Questions about this Privacy Policy or our privacy and information-security practices may be directed to:</w:t>
      </w:r>
    </w:p>
    <w:tbl>
      <w:tblPr>
        <w:tblW w:type="auto" w:w="0"/>
        <w:tblLayout w:type="fixed"/>
        <w:tblLook w:firstColumn="1" w:firstRow="1" w:lastColumn="0" w:lastRow="0" w:noHBand="0" w:noVBand="1" w:val="04A0"/>
      </w:tblPr>
      <w:tblGrid>
        <w:gridCol w:w="2232"/>
        <w:gridCol w:w="7272"/>
      </w:tblGrid>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Company</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Shelton Accounting &amp; Compliance Solutions, LLC</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Address</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13875 Carlow Park Drive, Riverview, Florida 33579</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Security / Privacy Email</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security@sheltoncompliance.com</w:t>
            </w:r>
          </w:p>
        </w:tc>
      </w:tr>
      <w:tr>
        <w:tc>
          <w:tcPr>
            <w:tcW w:type="dxa" w:w="5040"/>
            <w:tcMar>
              <w:top w:w="90" w:type="dxa"/>
              <w:start w:w="120" w:type="dxa"/>
              <w:bottom w:w="90" w:type="dxa"/>
              <w:end w:w="120" w:type="dxa"/>
            </w:tcMar>
            <w:vAlign w:val="center"/>
            <w:shd w:fill="E9F0F2"/>
          </w:tcPr>
          <w:p>
            <w:pPr>
              <w:spacing w:after="0"/>
            </w:pPr>
            <w:r>
              <w:rPr>
                <w:rFonts w:ascii="Aptos" w:hAnsi="Aptos"/>
                <w:b/>
                <w:i w:val="0"/>
                <w:color w:val="23454F"/>
                <w:sz w:val="19"/>
              </w:rPr>
              <w:t>Secure Documents</w:t>
            </w:r>
          </w:p>
        </w:tc>
        <w:tc>
          <w:tcPr>
            <w:tcW w:type="dxa" w:w="5040"/>
            <w:tcMar>
              <w:top w:w="90" w:type="dxa"/>
              <w:start w:w="120" w:type="dxa"/>
              <w:bottom w:w="90" w:type="dxa"/>
              <w:end w:w="120" w:type="dxa"/>
            </w:tcMar>
            <w:vAlign w:val="center"/>
          </w:tcPr>
          <w:p>
            <w:pPr>
              <w:spacing w:after="0"/>
            </w:pPr>
            <w:r>
              <w:rPr>
                <w:rFonts w:ascii="Aptos" w:hAnsi="Aptos"/>
                <w:b w:val="0"/>
                <w:i w:val="0"/>
                <w:color w:val="262B2E"/>
                <w:sz w:val="19"/>
              </w:rPr>
              <w:t>Use the Company-approved Seafile secure file-exchange method rather than ordinary email for Sensitive Information.</w:t>
            </w:r>
          </w:p>
        </w:tc>
      </w:tr>
    </w:tbl>
    <w:p>
      <w:pPr>
        <w:spacing w:before="240" w:after="0"/>
      </w:pPr>
      <w:r>
        <w:rPr>
          <w:rFonts w:ascii="Aptos" w:hAnsi="Aptos"/>
          <w:b w:val="0"/>
          <w:i/>
          <w:color w:val="5F696E"/>
          <w:sz w:val="18"/>
        </w:rPr>
        <w:t>This Privacy Policy is intended to operate consistently with the Company's Written Information Security Plan, applicable client agreements, Payment Terms &amp; Collections Policy, and governing contractual/security requirements. Where a separate written client consent or authorization is legally required, this Privacy Policy does not replace that consent or authorization.</w:t>
      </w:r>
    </w:p>
    <w:sectPr w:rsidR="00FC693F" w:rsidRPr="0006063C" w:rsidSect="00034616">
      <w:headerReference w:type="default" r:id="rId9"/>
      <w:footerReference w:type="default" r:id="rId10"/>
      <w:pgSz w:w="12240" w:h="15840"/>
      <w:pgMar w:top="936" w:right="1080" w:bottom="864"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F696E"/>
        <w:sz w:val="16"/>
      </w:rPr>
      <w:t xml:space="preserve">Shelton Accounting &amp; Compliance Solutions, LLC | Privacy Policy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485459"/>
        <w:sz w:val="17"/>
      </w:rPr>
      <w:t>SHELTON ACCOUNTING &amp; COMPLIANCE SOLUTIONS,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